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00360" w14:textId="36D553A5" w:rsidR="00756B54" w:rsidRDefault="0011063A" w:rsidP="0011063A">
      <w:pPr>
        <w:tabs>
          <w:tab w:val="left" w:pos="6236"/>
        </w:tabs>
        <w:ind w:right="-547"/>
        <w:jc w:val="right"/>
        <w:rPr>
          <w:color w:val="666666"/>
        </w:rPr>
      </w:pPr>
      <w:r>
        <w:rPr>
          <w:b/>
          <w:noProof/>
          <w:color w:val="4A86E8"/>
          <w:sz w:val="33"/>
          <w:szCs w:val="33"/>
        </w:rPr>
        <w:drawing>
          <wp:anchor distT="114300" distB="114300" distL="114300" distR="114300" simplePos="0" relativeHeight="251658240" behindDoc="0" locked="0" layoutInCell="1" hidden="0" allowOverlap="1" wp14:anchorId="5A7E4F39" wp14:editId="7A1C3941">
            <wp:simplePos x="0" y="0"/>
            <wp:positionH relativeFrom="margin">
              <wp:posOffset>-540385</wp:posOffset>
            </wp:positionH>
            <wp:positionV relativeFrom="margin">
              <wp:align>top</wp:align>
            </wp:positionV>
            <wp:extent cx="1260800" cy="1276463"/>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260800" cy="1276463"/>
                    </a:xfrm>
                    <a:prstGeom prst="rect">
                      <a:avLst/>
                    </a:prstGeom>
                    <a:ln/>
                  </pic:spPr>
                </pic:pic>
              </a:graphicData>
            </a:graphic>
          </wp:anchor>
        </w:drawing>
      </w:r>
      <w:r w:rsidR="00F53389">
        <w:rPr>
          <w:b/>
          <w:color w:val="666666"/>
          <w:sz w:val="33"/>
          <w:szCs w:val="33"/>
        </w:rPr>
        <w:t>Communiqué de presse</w:t>
      </w:r>
    </w:p>
    <w:p w14:paraId="6C6E4A6C" w14:textId="27CD5FA3" w:rsidR="00756B54" w:rsidRDefault="0025379A">
      <w:pPr>
        <w:tabs>
          <w:tab w:val="left" w:pos="6236"/>
        </w:tabs>
        <w:ind w:right="-554"/>
        <w:jc w:val="right"/>
      </w:pPr>
      <w:r>
        <w:t>Droits</w:t>
      </w:r>
      <w:r w:rsidR="00F53389">
        <w:t xml:space="preserve"> des femmes, 8 mars 2022</w:t>
      </w:r>
      <w:r w:rsidR="00F53389">
        <w:br/>
        <w:t>pour publication immédiate</w:t>
      </w:r>
    </w:p>
    <w:p w14:paraId="0CDAAEC9" w14:textId="77777777" w:rsidR="0011063A" w:rsidRDefault="0011063A">
      <w:pPr>
        <w:tabs>
          <w:tab w:val="left" w:pos="6236"/>
        </w:tabs>
        <w:ind w:right="-554"/>
        <w:jc w:val="right"/>
      </w:pPr>
    </w:p>
    <w:p w14:paraId="209FBCC6" w14:textId="59A79B1C" w:rsidR="00756B54" w:rsidRDefault="00F53389" w:rsidP="00007477">
      <w:pPr>
        <w:tabs>
          <w:tab w:val="left" w:pos="6236"/>
        </w:tabs>
        <w:jc w:val="center"/>
        <w:rPr>
          <w:b/>
          <w:sz w:val="31"/>
          <w:szCs w:val="31"/>
        </w:rPr>
      </w:pPr>
      <w:r>
        <w:rPr>
          <w:noProof/>
        </w:rPr>
        <w:drawing>
          <wp:inline distT="114300" distB="114300" distL="114300" distR="114300" wp14:anchorId="5F632ED4" wp14:editId="4E24A012">
            <wp:extent cx="3876675" cy="1971675"/>
            <wp:effectExtent l="0" t="0" r="9525" b="9525"/>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3877326" cy="1972006"/>
                    </a:xfrm>
                    <a:prstGeom prst="rect">
                      <a:avLst/>
                    </a:prstGeom>
                    <a:ln/>
                  </pic:spPr>
                </pic:pic>
              </a:graphicData>
            </a:graphic>
          </wp:inline>
        </w:drawing>
      </w:r>
    </w:p>
    <w:p w14:paraId="2B19CA21" w14:textId="77777777" w:rsidR="00756B54" w:rsidRDefault="00F53389">
      <w:pPr>
        <w:tabs>
          <w:tab w:val="left" w:pos="6236"/>
        </w:tabs>
        <w:jc w:val="center"/>
      </w:pPr>
      <w:r>
        <w:rPr>
          <w:b/>
          <w:sz w:val="31"/>
          <w:szCs w:val="31"/>
        </w:rPr>
        <w:t>Droits des femmes : un quinquennat désastreux</w:t>
      </w:r>
    </w:p>
    <w:p w14:paraId="176C116F" w14:textId="77777777" w:rsidR="00756B54" w:rsidRDefault="00F53389">
      <w:pPr>
        <w:tabs>
          <w:tab w:val="left" w:pos="6236"/>
        </w:tabs>
      </w:pPr>
      <w:r>
        <w:rPr>
          <w:b/>
          <w:i/>
        </w:rPr>
        <w:t>Après un quinquennat en voie d’ac</w:t>
      </w:r>
      <w:r>
        <w:rPr>
          <w:b/>
          <w:i/>
        </w:rPr>
        <w:t>hèvement, la Fédération LGBTI+ rappelle l’engagement quotidien des associations et des Centres LGBTI+ en matière de lutte contre le sexisme. Elle réaffirme l’importance pour le mouvement LGBTI+ de faire front avec la majorité inclusive des courants féminis</w:t>
      </w:r>
      <w:r>
        <w:rPr>
          <w:b/>
          <w:i/>
        </w:rPr>
        <w:t>tes.</w:t>
      </w:r>
    </w:p>
    <w:p w14:paraId="27E580B4" w14:textId="77777777" w:rsidR="00756B54" w:rsidRPr="000618FC" w:rsidRDefault="00F53389">
      <w:pPr>
        <w:tabs>
          <w:tab w:val="left" w:pos="6236"/>
        </w:tabs>
      </w:pPr>
      <w:r w:rsidRPr="000618FC">
        <w:t xml:space="preserve">Certes, presque jusqu’à la fin, la communication aura été le point fort des </w:t>
      </w:r>
      <w:proofErr w:type="gramStart"/>
      <w:r w:rsidRPr="000618FC">
        <w:t>gouvernements</w:t>
      </w:r>
      <w:proofErr w:type="gramEnd"/>
      <w:r w:rsidRPr="000618FC">
        <w:t xml:space="preserve"> de ce quinquennat. Ainsi, la cause des femmes en aura été - sur le papier - la “grande cause nationale”. Mais sous le vernis des déclarations flatteuses, les réa</w:t>
      </w:r>
      <w:r w:rsidRPr="000618FC">
        <w:t xml:space="preserve">lités sont épouvantables. La “lettre aux Français” d’Emmanuel Macron clôture un mandat et révèle ce que, dans le fond, nous savions </w:t>
      </w:r>
      <w:proofErr w:type="spellStart"/>
      <w:r w:rsidRPr="000618FC">
        <w:t>tou</w:t>
      </w:r>
      <w:r w:rsidRPr="000618FC">
        <w:rPr>
          <w:rFonts w:ascii="Cambria Math" w:hAnsi="Cambria Math" w:cs="Cambria Math"/>
        </w:rPr>
        <w:t>⋅</w:t>
      </w:r>
      <w:r w:rsidRPr="000618FC">
        <w:t>tes</w:t>
      </w:r>
      <w:proofErr w:type="spellEnd"/>
      <w:r w:rsidRPr="000618FC">
        <w:t>. Le candidat Macron n</w:t>
      </w:r>
      <w:r w:rsidRPr="000618FC">
        <w:t>’</w:t>
      </w:r>
      <w:r w:rsidRPr="000618FC">
        <w:t xml:space="preserve">y </w:t>
      </w:r>
      <w:r w:rsidRPr="000618FC">
        <w:t>é</w:t>
      </w:r>
      <w:r w:rsidRPr="000618FC">
        <w:t>voque en effet ni les femmes, ni les minorit</w:t>
      </w:r>
      <w:r w:rsidRPr="000618FC">
        <w:t>é</w:t>
      </w:r>
      <w:r w:rsidRPr="000618FC">
        <w:t>s sexuelles et de genre, ni les probl</w:t>
      </w:r>
      <w:r w:rsidRPr="000618FC">
        <w:t>é</w:t>
      </w:r>
      <w:r w:rsidRPr="000618FC">
        <w:t>matiques</w:t>
      </w:r>
      <w:r w:rsidRPr="000618FC">
        <w:t xml:space="preserve"> de discriminations. Preuve s’il en est que ces questions demeurent secondaires dans l’esprit du chef de l’État et candidat à l’élection présidentielle !</w:t>
      </w:r>
    </w:p>
    <w:p w14:paraId="2A8747C4" w14:textId="77777777" w:rsidR="00756B54" w:rsidRDefault="00F53389" w:rsidP="0011063A">
      <w:pPr>
        <w:pStyle w:val="Sansinterligne"/>
      </w:pPr>
      <w:r>
        <w:t>La réalité, c’est que nous sommes les témoins des défaillances chroniques, matérielles et structurelle</w:t>
      </w:r>
      <w:r>
        <w:t>s de l’État : défaillances de la police à prévenir des féminicides alors même que des faits de violence sont connus</w:t>
      </w:r>
      <w:r>
        <w:rPr>
          <w:vertAlign w:val="superscript"/>
        </w:rPr>
        <w:footnoteReference w:id="1"/>
      </w:r>
      <w:r>
        <w:t> ; défaillances du système pénal lorsqu’il refuse de prendre au sérieux les plaintes</w:t>
      </w:r>
      <w:r>
        <w:rPr>
          <w:vertAlign w:val="superscript"/>
        </w:rPr>
        <w:footnoteReference w:id="2"/>
      </w:r>
      <w:r>
        <w:t xml:space="preserve"> ; défaillances des services de l’inspection du trava</w:t>
      </w:r>
      <w:r>
        <w:t>il à faire appliquer le principe d’égalité salariale ; défaillances du Ministère de la Santé à prendre à bras le corps le problème de santé publique que constituent les violences gynécologiques et obstétriques. Enfin, défaillance de l’Éducation nationale q</w:t>
      </w:r>
      <w:r>
        <w:t xml:space="preserve">ui reproduit les stéréotypes et les inégalités entre filles et garçons, ce qui se traduit concrètement dans les choix d’orientation et la situation s'aggrave ! Ainsi, la dernière réforme des lycées impulsée par Jean-Michel Blanquer a largement contribué à </w:t>
      </w:r>
      <w:r>
        <w:t>décourager les filles de suivre les enseignants en mathématiques</w:t>
      </w:r>
      <w:r>
        <w:rPr>
          <w:vertAlign w:val="superscript"/>
        </w:rPr>
        <w:footnoteReference w:id="3"/>
      </w:r>
      <w:r>
        <w:t>.</w:t>
      </w:r>
    </w:p>
    <w:p w14:paraId="22D903E5" w14:textId="77777777" w:rsidR="00756B54" w:rsidRDefault="00F53389">
      <w:pPr>
        <w:tabs>
          <w:tab w:val="left" w:pos="6236"/>
        </w:tabs>
      </w:pPr>
      <w:r>
        <w:lastRenderedPageBreak/>
        <w:t>Trop souvent par ailleurs, l’Etat se livre à une surenchère répressive, en particulier vis-à-vis des femmes exilées, des usagères de drogues ou des travailleuses du sexe</w:t>
      </w:r>
      <w:r>
        <w:rPr>
          <w:vertAlign w:val="superscript"/>
        </w:rPr>
        <w:footnoteReference w:id="4"/>
      </w:r>
      <w:r>
        <w:t>. Pourtant, au-de</w:t>
      </w:r>
      <w:r>
        <w:t xml:space="preserve">là du bénéfice électoral qu’il y a peut-être à en tirer, ces politiques ne présentent aucun intérêt pour la société, surtout en termes de santé publique. Bien au contraire, elles ont des effets dramatiques (dont une forte diminution de l'espérance de vie) </w:t>
      </w:r>
      <w:r>
        <w:t>sur des pans entiers des publics féminins, souvent relégués de l’agenda des politiques publiques, alors qu’ils devraient être une priorité, selon une logique de santé publique.</w:t>
      </w:r>
    </w:p>
    <w:p w14:paraId="7A772BEC" w14:textId="77777777" w:rsidR="00756B54" w:rsidRDefault="00F53389">
      <w:pPr>
        <w:tabs>
          <w:tab w:val="left" w:pos="6236"/>
        </w:tabs>
      </w:pPr>
      <w:r>
        <w:t>Nous pourrions citer mille exemples d’autres choix politiques qui contribuent e</w:t>
      </w:r>
      <w:r>
        <w:t>t contribueront sournoisement à dégrader la condition des femmes. Ainsi, nous savons que dans sept cas sur dix, les hommes qui assassinent leur épouse sont sans emploi</w:t>
      </w:r>
      <w:r>
        <w:rPr>
          <w:vertAlign w:val="superscript"/>
        </w:rPr>
        <w:footnoteReference w:id="5"/>
      </w:r>
      <w:r>
        <w:t xml:space="preserve">. Il est donc clair que le choix de réduire la protection sociale face au chômage (une </w:t>
      </w:r>
      <w:r>
        <w:t>récente réforme présentée comme juste et progressiste) augmentera certainement le nombre de féminicides.</w:t>
      </w:r>
    </w:p>
    <w:p w14:paraId="48DD04BB" w14:textId="77777777" w:rsidR="00756B54" w:rsidRDefault="00F53389">
      <w:pPr>
        <w:tabs>
          <w:tab w:val="left" w:pos="6236"/>
        </w:tabs>
      </w:pPr>
      <w:r>
        <w:t xml:space="preserve">Dans ce contexte alarmant et contrairement aux fanfaronnades de Marlène Schiappa, les femmes lesbiennes et bisexuelles n’ont nullement été choyées par </w:t>
      </w:r>
      <w:r>
        <w:t xml:space="preserve">la réforme tardive, bâclée et partielle de la PMA. </w:t>
      </w:r>
      <w:proofErr w:type="gramStart"/>
      <w:r>
        <w:t>Suite à</w:t>
      </w:r>
      <w:proofErr w:type="gramEnd"/>
      <w:r>
        <w:t xml:space="preserve"> cette réforme, l’embouteillage des CECOS succède au prétendu “embouteillage parlementaire”. La pénurie de sperme et d’ovocytes inquiète, comme si ce problème n’avait pas pu être envisagé préalablem</w:t>
      </w:r>
      <w:r>
        <w:t>ent. La nouvelle politique instaure une procédure piégeuse, la "Reconnaissance Conjointe anticipée”, avec son lot de peaux de bananes jetées sur la route de la parentalité</w:t>
      </w:r>
      <w:r>
        <w:rPr>
          <w:vertAlign w:val="superscript"/>
        </w:rPr>
        <w:footnoteReference w:id="6"/>
      </w:r>
      <w:r>
        <w:t>. Ainsi, bien des notaires, peu compréhensifs et bien souvent mal informés, ne faci</w:t>
      </w:r>
      <w:r>
        <w:t>litent pas les démarches. Face à cette situation française ubuesque, de nombreuses femmes lesbiennes et bisexuelles continuent de se tourner vers des cliniques européennes. La France nous reconnaît des droits, mais - comme d’habitude - mandate des bureaucr</w:t>
      </w:r>
      <w:r>
        <w:t>ates pour nous barrer la route.</w:t>
      </w:r>
    </w:p>
    <w:p w14:paraId="620B477C" w14:textId="392CADD9" w:rsidR="00756B54" w:rsidRDefault="00F53389" w:rsidP="0011063A">
      <w:pPr>
        <w:pStyle w:val="Sansinterligne"/>
      </w:pPr>
      <w:r>
        <w:t xml:space="preserve">Voilà un exemple parmi d’autres de la façon dont les pouvoirs publics traitent les femmes. </w:t>
      </w:r>
      <w:r w:rsidR="0011063A">
        <w:t>Mais ce</w:t>
      </w:r>
      <w:r>
        <w:t xml:space="preserve"> n’est que la partie émergée de l’iceberg. La partie immergée, ce sont les vulnérabilités associées au fait d’être femme et q</w:t>
      </w:r>
      <w:r>
        <w:t>ueer : exposition aux violences sexuelles pendant l’enfance et l’adolescence, conséquences physiques et psychologiques de l’excision et des mariages forcés notamment pour les femmes racisées, isolement, exposition au stress minoritaire</w:t>
      </w:r>
      <w:r>
        <w:rPr>
          <w:vertAlign w:val="superscript"/>
        </w:rPr>
        <w:footnoteReference w:id="7"/>
      </w:r>
      <w:r>
        <w:t>, aux discours et a</w:t>
      </w:r>
      <w:r>
        <w:t xml:space="preserve">ux discriminations biphobes et lesbophobes, difficultés d’accès à des soins et à </w:t>
      </w:r>
      <w:r w:rsidR="0011063A">
        <w:t>une prévention adaptée</w:t>
      </w:r>
      <w:r>
        <w:t xml:space="preserve">. </w:t>
      </w:r>
    </w:p>
    <w:p w14:paraId="65C239CF" w14:textId="6426AE5E" w:rsidR="00756B54" w:rsidRDefault="00F53389">
      <w:pPr>
        <w:tabs>
          <w:tab w:val="left" w:pos="6236"/>
        </w:tabs>
      </w:pPr>
      <w:r>
        <w:t>L’exemple le plus criant est celui de l’accès aux soins gynécologiques, déjà entravé pour toutes les femmes. S</w:t>
      </w:r>
      <w:r w:rsidRPr="000618FC">
        <w:t xml:space="preserve">elon un sondage </w:t>
      </w:r>
      <w:r w:rsidR="00CB18EF" w:rsidRPr="000618FC">
        <w:t>IFOP</w:t>
      </w:r>
      <w:r w:rsidRPr="000618FC">
        <w:t xml:space="preserve"> de janvier 2022, 60</w:t>
      </w:r>
      <w:r w:rsidRPr="000618FC">
        <w:t>% ont déjà renoncé à se rendre chez un</w:t>
      </w:r>
      <w:r w:rsidRPr="000618FC">
        <w:rPr>
          <w:rFonts w:ascii="Cambria Math" w:hAnsi="Cambria Math" w:cs="Cambria Math"/>
        </w:rPr>
        <w:t>⋅</w:t>
      </w:r>
      <w:r w:rsidRPr="000618FC">
        <w:t>e gyn</w:t>
      </w:r>
      <w:r w:rsidRPr="000618FC">
        <w:t>é</w:t>
      </w:r>
      <w:r w:rsidRPr="000618FC">
        <w:t>cologue. Plus inqui</w:t>
      </w:r>
      <w:r w:rsidRPr="000618FC">
        <w:t>é</w:t>
      </w:r>
      <w:r w:rsidRPr="000618FC">
        <w:t>tant encore, un tiers d</w:t>
      </w:r>
      <w:r w:rsidRPr="000618FC">
        <w:t>’</w:t>
      </w:r>
      <w:r w:rsidRPr="000618FC">
        <w:t>entre elles n</w:t>
      </w:r>
      <w:r w:rsidRPr="000618FC">
        <w:t>’</w:t>
      </w:r>
      <w:r w:rsidRPr="000618FC">
        <w:t>a pas consult</w:t>
      </w:r>
      <w:r w:rsidRPr="000618FC">
        <w:t>é</w:t>
      </w:r>
      <w:r w:rsidRPr="000618FC">
        <w:t xml:space="preserve"> depuis plus de 2 ans ; pr</w:t>
      </w:r>
      <w:r w:rsidRPr="000618FC">
        <w:t>è</w:t>
      </w:r>
      <w:r w:rsidRPr="000618FC">
        <w:t>s d</w:t>
      </w:r>
      <w:r w:rsidRPr="000618FC">
        <w:t>’</w:t>
      </w:r>
      <w:r w:rsidRPr="000618FC">
        <w:t>un tiers des 18-24 ans n</w:t>
      </w:r>
      <w:r w:rsidRPr="000618FC">
        <w:t>’</w:t>
      </w:r>
      <w:r w:rsidRPr="000618FC">
        <w:t>a jamais</w:t>
      </w:r>
      <w:r>
        <w:rPr>
          <w:rFonts w:ascii="Nova Mono" w:eastAsia="Nova Mono" w:hAnsi="Nova Mono" w:cs="Nova Mono"/>
          <w:highlight w:val="white"/>
        </w:rPr>
        <w:t xml:space="preserve"> consulté !</w:t>
      </w:r>
      <w:r>
        <w:t xml:space="preserve"> Or, nous savons que la situation pour les femmes queer</w:t>
      </w:r>
      <w:r w:rsidR="000618FC">
        <w:t>,</w:t>
      </w:r>
      <w:r>
        <w:t xml:space="preserve"> est encore plus alarmant. Le bilan est donc mauvais, très mauvais, sur le plan de la santé des femmes.</w:t>
      </w:r>
    </w:p>
    <w:p w14:paraId="6730AB44" w14:textId="77777777" w:rsidR="00756B54" w:rsidRDefault="00F53389">
      <w:pPr>
        <w:tabs>
          <w:tab w:val="left" w:pos="6236"/>
        </w:tabs>
      </w:pPr>
      <w:r>
        <w:t>Enfin, les trajectoires personnelles des femmes queer sont marquées par les comportements à risqu</w:t>
      </w:r>
      <w:r>
        <w:t xml:space="preserve">es, notamment le tabagisme et la surconsommation d’alcool, avec des conséquences </w:t>
      </w:r>
      <w:r>
        <w:lastRenderedPageBreak/>
        <w:t xml:space="preserve">désastreuses sur la fonction hépatique. Tous ces facteurs conduisent bien souvent à des décès prématurés qui meurtrissent la communauté LGBTI+. </w:t>
      </w:r>
    </w:p>
    <w:p w14:paraId="51272D37" w14:textId="77777777" w:rsidR="00756B54" w:rsidRDefault="00F53389">
      <w:pPr>
        <w:tabs>
          <w:tab w:val="left" w:pos="6236"/>
        </w:tabs>
      </w:pPr>
      <w:r>
        <w:t>Les femmes transgenres et non-</w:t>
      </w:r>
      <w:r>
        <w:t>binaires subissent, quant à elles et selon la même logique, la perpétuation des discriminations et des violences. L’instauration du changement d’état civil libre et gratuit, sur simple déclaration en mairie, est pourtant recommandée par le Défenseur des dr</w:t>
      </w:r>
      <w:r>
        <w:t>oits</w:t>
      </w:r>
      <w:r>
        <w:rPr>
          <w:vertAlign w:val="superscript"/>
        </w:rPr>
        <w:footnoteReference w:id="8"/>
      </w:r>
      <w:r>
        <w:t xml:space="preserve"> et par l’immense majorité du mouvement LGBTI+ : à elle-seule, cette mesure acterait un progrès immense en termes d’égalité des droits. Malgré tout, tous les gouvernements ont fait la sourde oreille pendant cinq longues années ! </w:t>
      </w:r>
    </w:p>
    <w:p w14:paraId="66FE64D4" w14:textId="77777777" w:rsidR="00756B54" w:rsidRDefault="00F53389">
      <w:pPr>
        <w:tabs>
          <w:tab w:val="left" w:pos="6236"/>
        </w:tabs>
      </w:pPr>
      <w:r>
        <w:t>Par ailleurs, la transiden</w:t>
      </w:r>
      <w:r>
        <w:t>tité a été enfin dépsychiatrisée à l’échelle mondiale par l’OMS au 1er janvier 2022, trente-deux ans après la dépsychiatrisation de l’homosexualité. Pourtant, aucun travail sérieux n’a été diligenté, ni par le gouvernement, ni par aucun ministère, pour opé</w:t>
      </w:r>
      <w:r>
        <w:t>rer le virage attendu depuis longtemps, aujourd’hui inéluctable. Les femmes transgenres en paient le prix fort, chaque jour, dans l’indifférence et avec la complicité des pouvoirs publics, avec la liste de ces femmes transgenres assassinées qui s’allonge c</w:t>
      </w:r>
      <w:r>
        <w:t>haque année.</w:t>
      </w:r>
    </w:p>
    <w:p w14:paraId="486F0EA7" w14:textId="77777777" w:rsidR="00756B54" w:rsidRDefault="00F53389" w:rsidP="0011063A">
      <w:pPr>
        <w:pStyle w:val="Sansinterligne"/>
      </w:pPr>
      <w:r>
        <w:t xml:space="preserve">Ce refus constant des pouvoirs publics de légiférer en la matière ne peut s’expliquer </w:t>
      </w:r>
      <w:r>
        <w:rPr>
          <w:i/>
        </w:rPr>
        <w:t>que</w:t>
      </w:r>
      <w:r>
        <w:t xml:space="preserve"> par la transphobie d’État, à savoir le déni de droits fondamentaux pour toute une partie des citoyen·nes. </w:t>
      </w:r>
    </w:p>
    <w:p w14:paraId="6791FD40" w14:textId="77777777" w:rsidR="00756B54" w:rsidRDefault="00756B54" w:rsidP="0011063A">
      <w:pPr>
        <w:pStyle w:val="Sansinterligne"/>
      </w:pPr>
    </w:p>
    <w:p w14:paraId="66AD5F42" w14:textId="77777777" w:rsidR="00756B54" w:rsidRDefault="00F53389">
      <w:pPr>
        <w:tabs>
          <w:tab w:val="left" w:pos="6236"/>
        </w:tabs>
      </w:pPr>
      <w:r>
        <w:rPr>
          <w:b/>
        </w:rPr>
        <w:t>Malgré les éléments de langage et la communic</w:t>
      </w:r>
      <w:r>
        <w:rPr>
          <w:b/>
        </w:rPr>
        <w:t>ation gouvernementale, le bilan d’Emmanuel Macron n’aura nullement contribué à l’amélioration du sort des femmes (hétéro, lesbiennes, bisexuelles, cisgenres ou transgenres).</w:t>
      </w:r>
      <w:r>
        <w:t xml:space="preserve"> La situation s’est même aggravée dans bien des cas. Seules les luttes associatives</w:t>
      </w:r>
      <w:r>
        <w:t>, débouchant sur une action déterminée et volontariste de l’Etat, sont susceptibles d’inverser une tendance installée depuis trop longtemps.</w:t>
      </w:r>
    </w:p>
    <w:p w14:paraId="242C4D1B" w14:textId="77777777" w:rsidR="00756B54" w:rsidRDefault="00F53389">
      <w:pPr>
        <w:tabs>
          <w:tab w:val="left" w:pos="6236"/>
        </w:tabs>
        <w:rPr>
          <w:b/>
        </w:rPr>
      </w:pPr>
      <w:r>
        <w:t>Avec la majorité inclusive des courants féministes, les associations et Centres LGBTI+ sont aux premières loges des</w:t>
      </w:r>
      <w:r>
        <w:t xml:space="preserve"> réalités souvent occultées. Mais </w:t>
      </w:r>
      <w:r>
        <w:rPr>
          <w:b/>
        </w:rPr>
        <w:t>nous continuerons, comme fédération d’associations et de Centres LGBTI+, de faire état des réalités constatées sur le terrain et de militer pour l’égalité des droits et la pleine émancipation de toutes les femmes.</w:t>
      </w:r>
    </w:p>
    <w:p w14:paraId="5296CE63" w14:textId="77777777" w:rsidR="00756B54" w:rsidRDefault="00756B54">
      <w:pPr>
        <w:tabs>
          <w:tab w:val="left" w:pos="6236"/>
        </w:tabs>
      </w:pPr>
    </w:p>
    <w:p w14:paraId="7E789409" w14:textId="51E26210" w:rsidR="00756B54" w:rsidRDefault="00F53389">
      <w:pPr>
        <w:tabs>
          <w:tab w:val="left" w:pos="6236"/>
        </w:tabs>
      </w:pPr>
      <w:bookmarkStart w:id="0" w:name="_Hlk97623251"/>
      <w:r>
        <w:rPr>
          <w:b/>
        </w:rPr>
        <w:t>Contact</w:t>
      </w:r>
      <w:r>
        <w:rPr>
          <w:b/>
        </w:rPr>
        <w:t>s</w:t>
      </w:r>
      <w:r w:rsidR="004D041B">
        <w:rPr>
          <w:b/>
        </w:rPr>
        <w:t xml:space="preserve"> Fédération LGBTI+</w:t>
      </w:r>
    </w:p>
    <w:bookmarkEnd w:id="0"/>
    <w:p w14:paraId="72D428EF" w14:textId="035464A4" w:rsidR="00756B54" w:rsidRDefault="00F53389" w:rsidP="000618FC">
      <w:pPr>
        <w:tabs>
          <w:tab w:val="left" w:pos="6236"/>
        </w:tabs>
        <w:jc w:val="left"/>
      </w:pPr>
      <w:r>
        <w:t>Margaux Vibert</w:t>
      </w:r>
      <w:r w:rsidR="004D041B">
        <w:t xml:space="preserve"> </w:t>
      </w:r>
      <w:r w:rsidR="004D041B">
        <w:tab/>
      </w:r>
      <w:r w:rsidR="004D041B">
        <w:t>Kévin GALET</w:t>
      </w:r>
      <w:r>
        <w:br/>
        <w:t>Secrétaire</w:t>
      </w:r>
      <w:r w:rsidR="004D041B">
        <w:tab/>
        <w:t xml:space="preserve"> </w:t>
      </w:r>
      <w:r w:rsidR="004D041B">
        <w:t>Porte-parole</w:t>
      </w:r>
      <w:r>
        <w:br/>
        <w:t>06 50 49 64 20</w:t>
      </w:r>
      <w:r w:rsidR="004D041B">
        <w:t xml:space="preserve"> </w:t>
      </w:r>
      <w:r w:rsidR="004D041B">
        <w:tab/>
        <w:t xml:space="preserve"> </w:t>
      </w:r>
      <w:r w:rsidR="004D041B">
        <w:t>06 37 10 00 79</w:t>
      </w:r>
    </w:p>
    <w:p w14:paraId="57A5A86D" w14:textId="093B52AE" w:rsidR="004D041B" w:rsidRDefault="004D041B" w:rsidP="004D041B">
      <w:pPr>
        <w:pStyle w:val="Sansinterligne"/>
      </w:pPr>
    </w:p>
    <w:p w14:paraId="3F3A75EA" w14:textId="689ABC49" w:rsidR="004D041B" w:rsidRDefault="004D041B" w:rsidP="004D041B">
      <w:pPr>
        <w:tabs>
          <w:tab w:val="left" w:pos="6236"/>
        </w:tabs>
        <w:rPr>
          <w:b/>
        </w:rPr>
      </w:pPr>
      <w:r>
        <w:rPr>
          <w:noProof/>
        </w:rPr>
        <w:drawing>
          <wp:anchor distT="0" distB="0" distL="114300" distR="114300" simplePos="0" relativeHeight="251659264" behindDoc="1" locked="0" layoutInCell="1" allowOverlap="1" wp14:anchorId="597B67DF" wp14:editId="62572121">
            <wp:simplePos x="0" y="0"/>
            <wp:positionH relativeFrom="column">
              <wp:posOffset>3691255</wp:posOffset>
            </wp:positionH>
            <wp:positionV relativeFrom="paragraph">
              <wp:posOffset>222885</wp:posOffset>
            </wp:positionV>
            <wp:extent cx="1457325" cy="991235"/>
            <wp:effectExtent l="0" t="0" r="9525"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7325" cy="991235"/>
                    </a:xfrm>
                    <a:prstGeom prst="rect">
                      <a:avLst/>
                    </a:prstGeom>
                  </pic:spPr>
                </pic:pic>
              </a:graphicData>
            </a:graphic>
          </wp:anchor>
        </w:drawing>
      </w:r>
      <w:r>
        <w:rPr>
          <w:b/>
        </w:rPr>
        <w:t xml:space="preserve">Contact </w:t>
      </w:r>
      <w:r>
        <w:rPr>
          <w:b/>
        </w:rPr>
        <w:t>Centre LGBT+66</w:t>
      </w:r>
    </w:p>
    <w:p w14:paraId="6B88AA8C" w14:textId="249B2EC3" w:rsidR="004D041B" w:rsidRDefault="004D041B" w:rsidP="004D041B">
      <w:pPr>
        <w:pStyle w:val="Sansinterligne"/>
      </w:pPr>
      <w:r>
        <w:t>Jean-Loup THEVENOT</w:t>
      </w:r>
    </w:p>
    <w:p w14:paraId="705DB7BE" w14:textId="46BF3C1D" w:rsidR="004D041B" w:rsidRDefault="004D041B" w:rsidP="004D041B">
      <w:pPr>
        <w:pStyle w:val="Sansinterligne"/>
      </w:pPr>
      <w:r>
        <w:t>Président</w:t>
      </w:r>
    </w:p>
    <w:p w14:paraId="01E07D9E" w14:textId="41D37776" w:rsidR="004D041B" w:rsidRPr="004D041B" w:rsidRDefault="004D041B" w:rsidP="004D041B">
      <w:pPr>
        <w:pStyle w:val="Sansinterligne"/>
      </w:pPr>
      <w:r>
        <w:t>0636460740</w:t>
      </w:r>
      <w:r>
        <w:tab/>
      </w:r>
      <w:r>
        <w:tab/>
      </w:r>
      <w:r>
        <w:tab/>
      </w:r>
      <w:r>
        <w:tab/>
      </w:r>
      <w:r>
        <w:tab/>
      </w:r>
      <w:r>
        <w:tab/>
      </w:r>
      <w:r>
        <w:tab/>
      </w:r>
    </w:p>
    <w:p w14:paraId="43DF8D51" w14:textId="77777777" w:rsidR="004D041B" w:rsidRDefault="004D041B" w:rsidP="00E672ED"/>
    <w:p w14:paraId="503348D7" w14:textId="1DFA879D" w:rsidR="00756B54" w:rsidRDefault="00F53389" w:rsidP="000618FC">
      <w:pPr>
        <w:tabs>
          <w:tab w:val="left" w:pos="6236"/>
        </w:tabs>
        <w:jc w:val="left"/>
      </w:pPr>
      <w:r>
        <w:br/>
      </w:r>
      <w:r>
        <w:br/>
      </w:r>
    </w:p>
    <w:sectPr w:rsidR="00756B54">
      <w:headerReference w:type="default" r:id="rId9"/>
      <w:footerReference w:type="default" r:id="rId10"/>
      <w:footerReference w:type="first" r:id="rId11"/>
      <w:pgSz w:w="11909" w:h="16834"/>
      <w:pgMar w:top="850" w:right="1417" w:bottom="1417" w:left="1417"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15000" w14:textId="77777777" w:rsidR="00F53389" w:rsidRDefault="00F53389">
      <w:pPr>
        <w:spacing w:after="0" w:line="240" w:lineRule="auto"/>
      </w:pPr>
      <w:r>
        <w:separator/>
      </w:r>
    </w:p>
  </w:endnote>
  <w:endnote w:type="continuationSeparator" w:id="0">
    <w:p w14:paraId="1795AEC8" w14:textId="77777777" w:rsidR="00F53389" w:rsidRDefault="00F53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variable"/>
    <w:sig w:usb0="E00002FF" w:usb1="5000205B" w:usb2="00000020" w:usb3="00000000" w:csb0="0000019F" w:csb1="00000000"/>
  </w:font>
  <w:font w:name="Roboto Medium">
    <w:charset w:val="00"/>
    <w:family w:val="auto"/>
    <w:pitch w:val="variable"/>
    <w:sig w:usb0="E00002FF" w:usb1="5000205B" w:usb2="00000020" w:usb3="00000000" w:csb0="0000019F" w:csb1="00000000"/>
  </w:font>
  <w:font w:name="Roboto Thin">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ova Mon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B05AE" w14:textId="77777777" w:rsidR="00756B54" w:rsidRDefault="00F53389">
    <w:pPr>
      <w:jc w:val="right"/>
    </w:pPr>
    <w:r>
      <w:fldChar w:fldCharType="begin"/>
    </w:r>
    <w:r>
      <w:instrText>PAGE</w:instrText>
    </w:r>
    <w:r>
      <w:fldChar w:fldCharType="separate"/>
    </w:r>
    <w:r w:rsidR="0025379A">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C584F" w14:textId="77777777" w:rsidR="00756B54" w:rsidRDefault="00756B54">
    <w:pPr>
      <w:jc w:val="center"/>
    </w:pPr>
  </w:p>
  <w:p w14:paraId="685486E5" w14:textId="77777777" w:rsidR="00756B54" w:rsidRDefault="00F53389">
    <w:pPr>
      <w:jc w:val="center"/>
    </w:pPr>
    <w:r>
      <w:pict w14:anchorId="77EBDEEE">
        <v:rect id="_x0000_i1025" style="width:0;height:1.5pt" o:hralign="center" o:hrstd="t" o:hr="t" fillcolor="#a0a0a0" stroked="f"/>
      </w:pict>
    </w:r>
  </w:p>
  <w:p w14:paraId="0DC7F8E1" w14:textId="77777777" w:rsidR="00756B54" w:rsidRDefault="00F53389">
    <w:pPr>
      <w:jc w:val="center"/>
    </w:pPr>
    <w:r>
      <w:fldChar w:fldCharType="begin"/>
    </w:r>
    <w:r>
      <w:instrText>PAGE</w:instrText>
    </w:r>
    <w:r>
      <w:fldChar w:fldCharType="separate"/>
    </w:r>
    <w:r w:rsidR="0025379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B4F93" w14:textId="77777777" w:rsidR="00F53389" w:rsidRDefault="00F53389">
      <w:pPr>
        <w:spacing w:after="0" w:line="240" w:lineRule="auto"/>
      </w:pPr>
      <w:r>
        <w:separator/>
      </w:r>
    </w:p>
  </w:footnote>
  <w:footnote w:type="continuationSeparator" w:id="0">
    <w:p w14:paraId="150060B7" w14:textId="77777777" w:rsidR="00F53389" w:rsidRDefault="00F53389">
      <w:pPr>
        <w:spacing w:after="0" w:line="240" w:lineRule="auto"/>
      </w:pPr>
      <w:r>
        <w:continuationSeparator/>
      </w:r>
    </w:p>
  </w:footnote>
  <w:footnote w:id="1">
    <w:p w14:paraId="2ED4420E" w14:textId="77777777" w:rsidR="00756B54" w:rsidRDefault="00F53389">
      <w:pPr>
        <w:spacing w:after="0" w:line="240" w:lineRule="auto"/>
        <w:rPr>
          <w:sz w:val="20"/>
          <w:szCs w:val="20"/>
        </w:rPr>
      </w:pPr>
      <w:r>
        <w:rPr>
          <w:vertAlign w:val="superscript"/>
        </w:rPr>
        <w:footnoteRef/>
      </w:r>
      <w:r>
        <w:rPr>
          <w:sz w:val="20"/>
          <w:szCs w:val="20"/>
        </w:rPr>
        <w:t xml:space="preserve"> “</w:t>
      </w:r>
      <w:hyperlink r:id="rId1">
        <w:r>
          <w:rPr>
            <w:i/>
            <w:color w:val="1155CC"/>
            <w:sz w:val="20"/>
            <w:szCs w:val="20"/>
            <w:u w:val="single"/>
          </w:rPr>
          <w:t>Féminicide de Douai : la police est mise en cause</w:t>
        </w:r>
      </w:hyperlink>
      <w:r>
        <w:rPr>
          <w:sz w:val="20"/>
          <w:szCs w:val="20"/>
        </w:rPr>
        <w:t>”, France info, 28 janvier 2022</w:t>
      </w:r>
    </w:p>
  </w:footnote>
  <w:footnote w:id="2">
    <w:p w14:paraId="1FF6D4A7" w14:textId="77777777" w:rsidR="00756B54" w:rsidRDefault="00F53389">
      <w:pPr>
        <w:spacing w:after="0" w:line="240" w:lineRule="auto"/>
        <w:rPr>
          <w:sz w:val="20"/>
          <w:szCs w:val="20"/>
        </w:rPr>
      </w:pPr>
      <w:r>
        <w:rPr>
          <w:vertAlign w:val="superscript"/>
        </w:rPr>
        <w:footnoteRef/>
      </w:r>
      <w:r>
        <w:rPr>
          <w:sz w:val="20"/>
          <w:szCs w:val="20"/>
        </w:rPr>
        <w:t xml:space="preserve"> “</w:t>
      </w:r>
      <w:hyperlink r:id="rId2">
        <w:r>
          <w:rPr>
            <w:i/>
            <w:color w:val="1155CC"/>
            <w:sz w:val="20"/>
            <w:szCs w:val="20"/>
            <w:u w:val="single"/>
          </w:rPr>
          <w:t>Féminicides : en 2020, près d’une victime sur cinq avait déposé pl</w:t>
        </w:r>
        <w:r>
          <w:rPr>
            <w:i/>
            <w:color w:val="1155CC"/>
            <w:sz w:val="20"/>
            <w:szCs w:val="20"/>
            <w:u w:val="single"/>
          </w:rPr>
          <w:t>ainte</w:t>
        </w:r>
      </w:hyperlink>
      <w:r>
        <w:rPr>
          <w:i/>
          <w:sz w:val="20"/>
          <w:szCs w:val="20"/>
        </w:rPr>
        <w:t xml:space="preserve">”, </w:t>
      </w:r>
      <w:r>
        <w:rPr>
          <w:sz w:val="20"/>
          <w:szCs w:val="20"/>
        </w:rPr>
        <w:t>Le Monde, 2 août 2021</w:t>
      </w:r>
    </w:p>
  </w:footnote>
  <w:footnote w:id="3">
    <w:p w14:paraId="5B48BBAB" w14:textId="77777777" w:rsidR="00756B54" w:rsidRDefault="00F53389">
      <w:pPr>
        <w:spacing w:after="0" w:line="240" w:lineRule="auto"/>
        <w:rPr>
          <w:sz w:val="20"/>
          <w:szCs w:val="20"/>
        </w:rPr>
      </w:pPr>
      <w:r>
        <w:rPr>
          <w:vertAlign w:val="superscript"/>
        </w:rPr>
        <w:footnoteRef/>
      </w:r>
      <w:r>
        <w:rPr>
          <w:sz w:val="20"/>
          <w:szCs w:val="20"/>
        </w:rPr>
        <w:t xml:space="preserve"> “</w:t>
      </w:r>
      <w:hyperlink r:id="rId3">
        <w:r>
          <w:rPr>
            <w:i/>
            <w:color w:val="1155CC"/>
            <w:sz w:val="20"/>
            <w:szCs w:val="20"/>
            <w:u w:val="single"/>
          </w:rPr>
          <w:t>La réforme du lycée a augmenté les inégalités entre filles</w:t>
        </w:r>
        <w:r>
          <w:rPr>
            <w:i/>
            <w:color w:val="1155CC"/>
            <w:sz w:val="20"/>
            <w:szCs w:val="20"/>
            <w:u w:val="single"/>
          </w:rPr>
          <w:t xml:space="preserve"> et garçons en maths</w:t>
        </w:r>
      </w:hyperlink>
      <w:r>
        <w:rPr>
          <w:i/>
          <w:sz w:val="20"/>
          <w:szCs w:val="20"/>
        </w:rPr>
        <w:t>”, Le Nouvel Obs</w:t>
      </w:r>
      <w:r>
        <w:rPr>
          <w:sz w:val="20"/>
          <w:szCs w:val="20"/>
        </w:rPr>
        <w:t>, 25 janvier 2022</w:t>
      </w:r>
    </w:p>
  </w:footnote>
  <w:footnote w:id="4">
    <w:p w14:paraId="10548762" w14:textId="77777777" w:rsidR="00756B54" w:rsidRDefault="00F53389">
      <w:pPr>
        <w:spacing w:after="0" w:line="240" w:lineRule="auto"/>
        <w:rPr>
          <w:sz w:val="20"/>
          <w:szCs w:val="20"/>
        </w:rPr>
      </w:pPr>
      <w:r>
        <w:rPr>
          <w:vertAlign w:val="superscript"/>
        </w:rPr>
        <w:footnoteRef/>
      </w:r>
      <w:r>
        <w:rPr>
          <w:sz w:val="20"/>
          <w:szCs w:val="20"/>
        </w:rPr>
        <w:t xml:space="preserve"> Lire en particulier la brochure d’</w:t>
      </w:r>
      <w:proofErr w:type="spellStart"/>
      <w:r>
        <w:rPr>
          <w:sz w:val="20"/>
          <w:szCs w:val="20"/>
        </w:rPr>
        <w:t>Act</w:t>
      </w:r>
      <w:proofErr w:type="spellEnd"/>
      <w:r>
        <w:rPr>
          <w:sz w:val="20"/>
          <w:szCs w:val="20"/>
        </w:rPr>
        <w:t xml:space="preserve"> Up, </w:t>
      </w:r>
      <w:hyperlink r:id="rId4">
        <w:r>
          <w:rPr>
            <w:i/>
            <w:color w:val="1155CC"/>
            <w:sz w:val="20"/>
            <w:szCs w:val="20"/>
            <w:u w:val="single"/>
          </w:rPr>
          <w:t>Observations et recommandations d’</w:t>
        </w:r>
        <w:proofErr w:type="spellStart"/>
        <w:r>
          <w:rPr>
            <w:i/>
            <w:color w:val="1155CC"/>
            <w:sz w:val="20"/>
            <w:szCs w:val="20"/>
            <w:u w:val="single"/>
          </w:rPr>
          <w:t>Act</w:t>
        </w:r>
        <w:proofErr w:type="spellEnd"/>
        <w:r>
          <w:rPr>
            <w:i/>
            <w:color w:val="1155CC"/>
            <w:sz w:val="20"/>
            <w:szCs w:val="20"/>
            <w:u w:val="single"/>
          </w:rPr>
          <w:t xml:space="preserve"> Up pour garantir l’accès aux droits aux </w:t>
        </w:r>
        <w:proofErr w:type="spellStart"/>
        <w:r>
          <w:rPr>
            <w:i/>
            <w:color w:val="1155CC"/>
            <w:sz w:val="20"/>
            <w:szCs w:val="20"/>
            <w:u w:val="single"/>
          </w:rPr>
          <w:t>travailleurSEs</w:t>
        </w:r>
        <w:proofErr w:type="spellEnd"/>
        <w:r>
          <w:rPr>
            <w:i/>
            <w:color w:val="1155CC"/>
            <w:sz w:val="20"/>
            <w:szCs w:val="20"/>
            <w:u w:val="single"/>
          </w:rPr>
          <w:t xml:space="preserve"> du sexe en 2022</w:t>
        </w:r>
      </w:hyperlink>
      <w:r>
        <w:rPr>
          <w:i/>
          <w:sz w:val="20"/>
          <w:szCs w:val="20"/>
        </w:rPr>
        <w:t xml:space="preserve">, </w:t>
      </w:r>
      <w:r>
        <w:rPr>
          <w:sz w:val="20"/>
          <w:szCs w:val="20"/>
        </w:rPr>
        <w:t>23 février 2022</w:t>
      </w:r>
    </w:p>
  </w:footnote>
  <w:footnote w:id="5">
    <w:p w14:paraId="15DA8289" w14:textId="77777777" w:rsidR="00756B54" w:rsidRDefault="00F53389">
      <w:pPr>
        <w:spacing w:after="0" w:line="240" w:lineRule="auto"/>
        <w:rPr>
          <w:sz w:val="20"/>
          <w:szCs w:val="20"/>
        </w:rPr>
      </w:pPr>
      <w:r>
        <w:rPr>
          <w:vertAlign w:val="superscript"/>
        </w:rPr>
        <w:footnoteRef/>
      </w:r>
      <w:r>
        <w:rPr>
          <w:sz w:val="20"/>
          <w:szCs w:val="20"/>
        </w:rPr>
        <w:t xml:space="preserve"> “</w:t>
      </w:r>
      <w:hyperlink r:id="rId5">
        <w:r>
          <w:rPr>
            <w:i/>
            <w:color w:val="1155CC"/>
            <w:sz w:val="20"/>
            <w:szCs w:val="20"/>
            <w:u w:val="single"/>
          </w:rPr>
          <w:t>Féminicides : des meurtriers dominateurs, loin du « coup de folie</w:t>
        </w:r>
      </w:hyperlink>
      <w:r>
        <w:rPr>
          <w:i/>
          <w:sz w:val="20"/>
          <w:szCs w:val="20"/>
        </w:rPr>
        <w:t xml:space="preserve"> »</w:t>
      </w:r>
      <w:r>
        <w:rPr>
          <w:sz w:val="20"/>
          <w:szCs w:val="20"/>
        </w:rPr>
        <w:t>”, Par Nicolas Chapuis, Faustine Vincent et Luc Leroux (Marseille, correspondant</w:t>
      </w:r>
      <w:proofErr w:type="gramStart"/>
      <w:r>
        <w:rPr>
          <w:sz w:val="20"/>
          <w:szCs w:val="20"/>
        </w:rPr>
        <w:t>) ,</w:t>
      </w:r>
      <w:proofErr w:type="gramEnd"/>
      <w:r>
        <w:rPr>
          <w:sz w:val="20"/>
          <w:szCs w:val="20"/>
        </w:rPr>
        <w:t xml:space="preserve"> </w:t>
      </w:r>
      <w:r>
        <w:rPr>
          <w:i/>
          <w:sz w:val="20"/>
          <w:szCs w:val="20"/>
        </w:rPr>
        <w:t>Le Monde</w:t>
      </w:r>
      <w:r>
        <w:rPr>
          <w:sz w:val="20"/>
          <w:szCs w:val="20"/>
        </w:rPr>
        <w:t xml:space="preserve">, 2 juin 2020. </w:t>
      </w:r>
    </w:p>
  </w:footnote>
  <w:footnote w:id="6">
    <w:p w14:paraId="7ACE83A1" w14:textId="77777777" w:rsidR="00756B54" w:rsidRDefault="00F53389">
      <w:pPr>
        <w:spacing w:after="0" w:line="240" w:lineRule="auto"/>
        <w:rPr>
          <w:sz w:val="20"/>
          <w:szCs w:val="20"/>
        </w:rPr>
      </w:pPr>
      <w:r>
        <w:rPr>
          <w:vertAlign w:val="superscript"/>
        </w:rPr>
        <w:footnoteRef/>
      </w:r>
      <w:r>
        <w:rPr>
          <w:sz w:val="20"/>
          <w:szCs w:val="20"/>
        </w:rPr>
        <w:t xml:space="preserve"> Lire le communiqué des Enfants Arc-En-Ciel, </w:t>
      </w:r>
      <w:hyperlink r:id="rId6">
        <w:r>
          <w:rPr>
            <w:color w:val="1155CC"/>
            <w:sz w:val="20"/>
            <w:szCs w:val="20"/>
            <w:u w:val="single"/>
          </w:rPr>
          <w:t xml:space="preserve">PMA pour </w:t>
        </w:r>
        <w:proofErr w:type="spellStart"/>
        <w:r>
          <w:rPr>
            <w:color w:val="1155CC"/>
            <w:sz w:val="20"/>
            <w:szCs w:val="20"/>
            <w:u w:val="single"/>
          </w:rPr>
          <w:t>tou⋅tes</w:t>
        </w:r>
        <w:proofErr w:type="spellEnd"/>
        <w:r>
          <w:rPr>
            <w:color w:val="1155CC"/>
            <w:sz w:val="20"/>
            <w:szCs w:val="20"/>
            <w:u w:val="single"/>
          </w:rPr>
          <w:t>, un pas en avant mais pas aussi loin qu’espéré</w:t>
        </w:r>
      </w:hyperlink>
      <w:r>
        <w:rPr>
          <w:sz w:val="20"/>
          <w:szCs w:val="20"/>
        </w:rPr>
        <w:t>, 5 juillet 2021</w:t>
      </w:r>
    </w:p>
  </w:footnote>
  <w:footnote w:id="7">
    <w:p w14:paraId="5F9CAABA" w14:textId="77777777" w:rsidR="00756B54" w:rsidRDefault="00F53389">
      <w:pPr>
        <w:spacing w:after="0" w:line="240" w:lineRule="auto"/>
        <w:rPr>
          <w:sz w:val="20"/>
          <w:szCs w:val="20"/>
        </w:rPr>
      </w:pPr>
      <w:r>
        <w:rPr>
          <w:vertAlign w:val="superscript"/>
        </w:rPr>
        <w:footnoteRef/>
      </w:r>
      <w:r>
        <w:rPr>
          <w:sz w:val="20"/>
          <w:szCs w:val="20"/>
        </w:rPr>
        <w:t xml:space="preserve"> Le stress minoritaire désigne l’expérience vécue et partagée de stress chronique lié au fait d’appartenir à une catégorie socialement marginalisée, dans une société majoritairement hétérosexuelle et cisgenre.</w:t>
      </w:r>
    </w:p>
  </w:footnote>
  <w:footnote w:id="8">
    <w:p w14:paraId="184E8980" w14:textId="77777777" w:rsidR="00756B54" w:rsidRDefault="00F53389">
      <w:pPr>
        <w:spacing w:after="0" w:line="240" w:lineRule="auto"/>
        <w:rPr>
          <w:sz w:val="20"/>
          <w:szCs w:val="20"/>
        </w:rPr>
      </w:pPr>
      <w:r>
        <w:rPr>
          <w:vertAlign w:val="superscript"/>
        </w:rPr>
        <w:footnoteRef/>
      </w:r>
      <w:r>
        <w:rPr>
          <w:sz w:val="20"/>
          <w:szCs w:val="20"/>
        </w:rPr>
        <w:t xml:space="preserve"> Lire notre communiqué : </w:t>
      </w:r>
      <w:hyperlink r:id="rId7">
        <w:r>
          <w:rPr>
            <w:i/>
            <w:color w:val="1155CC"/>
            <w:sz w:val="20"/>
            <w:szCs w:val="20"/>
            <w:u w:val="single"/>
          </w:rPr>
          <w:t>Transidentité : une d</w:t>
        </w:r>
        <w:r>
          <w:rPr>
            <w:i/>
            <w:color w:val="1155CC"/>
            <w:sz w:val="20"/>
            <w:szCs w:val="20"/>
            <w:u w:val="single"/>
          </w:rPr>
          <w:t xml:space="preserve">écision historique du Défenseur des </w:t>
        </w:r>
        <w:proofErr w:type="gramStart"/>
        <w:r>
          <w:rPr>
            <w:i/>
            <w:color w:val="1155CC"/>
            <w:sz w:val="20"/>
            <w:szCs w:val="20"/>
            <w:u w:val="single"/>
          </w:rPr>
          <w:t>droits !,</w:t>
        </w:r>
        <w:proofErr w:type="gramEnd"/>
      </w:hyperlink>
      <w:r>
        <w:rPr>
          <w:i/>
          <w:sz w:val="20"/>
          <w:szCs w:val="20"/>
        </w:rPr>
        <w:t xml:space="preserve"> </w:t>
      </w:r>
      <w:r>
        <w:rPr>
          <w:sz w:val="20"/>
          <w:szCs w:val="20"/>
        </w:rPr>
        <w:t>26 juin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7CFE" w14:textId="77777777" w:rsidR="00756B54" w:rsidRDefault="00756B5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B54"/>
    <w:rsid w:val="00007477"/>
    <w:rsid w:val="000618FC"/>
    <w:rsid w:val="0011063A"/>
    <w:rsid w:val="0025379A"/>
    <w:rsid w:val="004D041B"/>
    <w:rsid w:val="00756B54"/>
    <w:rsid w:val="00CB18EF"/>
    <w:rsid w:val="00E672ED"/>
    <w:rsid w:val="00F5338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592C6"/>
  <w15:docId w15:val="{30514D88-2D95-42A1-B3E6-59B6E6DEB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Roboto" w:hAnsi="Roboto" w:cs="Roboto"/>
        <w:sz w:val="21"/>
        <w:szCs w:val="21"/>
        <w:lang w:val="fr" w:eastAsia="fr-F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outlineLvl w:val="0"/>
    </w:pPr>
    <w:rPr>
      <w:rFonts w:ascii="Roboto Medium" w:eastAsia="Roboto Medium" w:hAnsi="Roboto Medium" w:cs="Roboto Medium"/>
      <w:sz w:val="32"/>
      <w:szCs w:val="32"/>
    </w:rPr>
  </w:style>
  <w:style w:type="paragraph" w:styleId="Titre2">
    <w:name w:val="heading 2"/>
    <w:basedOn w:val="Normal"/>
    <w:next w:val="Normal"/>
    <w:uiPriority w:val="9"/>
    <w:semiHidden/>
    <w:unhideWhenUsed/>
    <w:qFormat/>
    <w:pPr>
      <w:keepNext/>
      <w:keepLines/>
      <w:outlineLvl w:val="1"/>
    </w:pPr>
    <w:rPr>
      <w:b/>
      <w:sz w:val="26"/>
      <w:szCs w:val="26"/>
    </w:rPr>
  </w:style>
  <w:style w:type="paragraph" w:styleId="Titre3">
    <w:name w:val="heading 3"/>
    <w:basedOn w:val="Normal"/>
    <w:next w:val="Normal"/>
    <w:uiPriority w:val="9"/>
    <w:semiHidden/>
    <w:unhideWhenUsed/>
    <w:qFormat/>
    <w:pPr>
      <w:keepNext/>
      <w:keepLines/>
      <w:outlineLvl w:val="2"/>
    </w:pPr>
    <w:rPr>
      <w:rFonts w:ascii="Roboto Thin" w:eastAsia="Roboto Thin" w:hAnsi="Roboto Thin" w:cs="Roboto Thin"/>
      <w:sz w:val="24"/>
      <w:szCs w:val="24"/>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itre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0"/>
    </w:pPr>
    <w:rPr>
      <w:b/>
      <w:sz w:val="56"/>
      <w:szCs w:val="56"/>
    </w:rPr>
  </w:style>
  <w:style w:type="paragraph" w:styleId="Sous-titre">
    <w:name w:val="Subtitle"/>
    <w:basedOn w:val="Normal"/>
    <w:next w:val="Normal"/>
    <w:uiPriority w:val="11"/>
    <w:qFormat/>
    <w:pPr>
      <w:keepNext/>
      <w:keepLines/>
    </w:pPr>
    <w:rPr>
      <w:b/>
      <w:color w:val="666666"/>
      <w:sz w:val="22"/>
      <w:szCs w:val="22"/>
    </w:rPr>
  </w:style>
  <w:style w:type="paragraph" w:styleId="Sansinterligne">
    <w:name w:val="No Spacing"/>
    <w:uiPriority w:val="1"/>
    <w:qFormat/>
    <w:rsid w:val="001106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nouvelobs.com/education/20220125.OBS53681/la-reforme-du-lycee-a-augmente-les-inegalites-entre-les-filles-et-les-garcons-en-maths.html" TargetMode="External"/><Relationship Id="rId7" Type="http://schemas.openxmlformats.org/officeDocument/2006/relationships/hyperlink" Target="https://federation-lgbti.org/actualite/ddd-decision-cadre-136/" TargetMode="External"/><Relationship Id="rId2" Type="http://schemas.openxmlformats.org/officeDocument/2006/relationships/hyperlink" Target="https://www.lemonde.fr/societe/article/2021/08/02/feminicides-en-2020-pres-d-une-victime-sur-cinq-avait-porte-plainte_6090306_3224.html" TargetMode="External"/><Relationship Id="rId1" Type="http://schemas.openxmlformats.org/officeDocument/2006/relationships/hyperlink" Target="https://www.francetvinfo.fr/societe/feminicides/feminicide-de-douai-la-police-est-mise-en-cause_4933295.html" TargetMode="External"/><Relationship Id="rId6" Type="http://schemas.openxmlformats.org/officeDocument/2006/relationships/hyperlink" Target="https://enfants-arcenciel.org/communique-pma-pour-tou-te-s-un-pas-en-avant-mais-pas-aussi-loin-quespere/" TargetMode="External"/><Relationship Id="rId5" Type="http://schemas.openxmlformats.org/officeDocument/2006/relationships/hyperlink" Target="https://www.lemonde.fr/societe/article/2020/06/02/feminicides-des-meurtriers-dominateurs-loin-du-coup-de-folie_6041474_3224.html" TargetMode="External"/><Relationship Id="rId4" Type="http://schemas.openxmlformats.org/officeDocument/2006/relationships/hyperlink" Target="https://www.nouvelobs.com/education/20220125.OBS53681/la-reforme-du-lycee-a-augmente-les-inegalites-entre-les-filles-et-les-garcons-en-math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1184</Words>
  <Characters>6517</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Jean-Loup Thevenot</cp:lastModifiedBy>
  <cp:revision>3</cp:revision>
  <dcterms:created xsi:type="dcterms:W3CDTF">2022-03-08T07:51:00Z</dcterms:created>
  <dcterms:modified xsi:type="dcterms:W3CDTF">2022-03-08T08:36:00Z</dcterms:modified>
</cp:coreProperties>
</file>